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361609FC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kern w:val="0"/>
          <w:sz w:val="44"/>
          <w:szCs w:val="44"/>
          <w:lang w:val="en-US" w:eastAsia="zh-CN" w:bidi="ar-SA"/>
        </w:rPr>
        <w:t>2025中国国际电商产业博览会情况介绍</w:t>
      </w:r>
    </w:p>
    <w:p w14:paraId="6F763077"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4B7F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一、组织机构</w:t>
      </w:r>
    </w:p>
    <w:p w14:paraId="6216A378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（一）指导单位</w:t>
      </w:r>
    </w:p>
    <w:p w14:paraId="519C6EC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贸易发展与标准合作组织</w:t>
      </w:r>
    </w:p>
    <w:p w14:paraId="46F5793B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（二）主办单位</w:t>
      </w:r>
    </w:p>
    <w:p w14:paraId="145C3A5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中国贸促会商业行业委员会、中国机电产品进出口商会、江苏省国际商会、中国贸促会江西省委员会、中国贸促会山东省委员会、中国贸促会湖南省分会、中国贸促会广东省委员会、中国贸促会西安市分会</w:t>
      </w:r>
    </w:p>
    <w:p w14:paraId="712E8006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（三）承办单位</w:t>
      </w:r>
    </w:p>
    <w:p w14:paraId="3F0CA12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中国国际商会商业行业商会、商业国际交流合作培训中心、方维（深圳）国际商业有限公司、PT Surya Dirgantara Sukses</w:t>
      </w:r>
    </w:p>
    <w:p w14:paraId="49FF25B0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（四）支持单位</w:t>
      </w:r>
    </w:p>
    <w:p w14:paraId="2F0148B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亚洲营销联盟、亚洲中小企业理事会、国际商会印尼国家委员会、印尼工商会、印尼企业家协会、印尼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青年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企业家协会、印华百家姓协会、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印尼零售商协会、印尼电子照明行业协会、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泰国中华总商会、泰国华人青年商会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、泰中侨商联合会、越南电子商务协会、越南粤商会、菲律宾粤商会、菲律宾中国商会电商协会分会</w:t>
      </w:r>
    </w:p>
    <w:p w14:paraId="4245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二、基本情况</w:t>
      </w:r>
    </w:p>
    <w:p w14:paraId="3DCB0B5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展会名称：2025中国国际电商产业博览会</w:t>
      </w:r>
    </w:p>
    <w:p w14:paraId="48AB103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举办时间：2025年9月3日-5日</w:t>
      </w:r>
    </w:p>
    <w:p w14:paraId="10EAD25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举办地点：印尼雅加达展览中心（JIExpo）</w:t>
      </w:r>
    </w:p>
    <w:p w14:paraId="0E31160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展会面积：20,000平方米</w:t>
      </w:r>
    </w:p>
    <w:p w14:paraId="52ADE9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同期展会：2025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印度尼西亚选品展览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2025印度尼西亚消费电子及电器展览会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2025印度尼西亚制冷及冷链供应链展览会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，2025印度尼西亚农机及农业技术展览会，2025中国机械电子（印尼）品牌展暨印尼国际电力新能源及造纸产业链展</w:t>
      </w:r>
    </w:p>
    <w:p w14:paraId="105B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展商及展品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类别</w:t>
      </w:r>
    </w:p>
    <w:p w14:paraId="75186CA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2025印度尼西亚选品展览会</w:t>
      </w:r>
    </w:p>
    <w:p w14:paraId="5513D85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精品生活：服饰箱包、厨卫用品、纺织用品、家居及家具、母婴玩具、个护美妆、宠物用品、潮流奢品等。</w:t>
      </w:r>
    </w:p>
    <w:p w14:paraId="778E4E6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体育及户外用品：球类、水上运动器材、潜水用具、帐篷、背包、睡袋、防潮垫或气垫、高山眼镜等。</w:t>
      </w:r>
    </w:p>
    <w:p w14:paraId="7BC71C7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新能源设备：新能源车及零配件、燃料电池、锂电池、充电桩、储能等。</w:t>
      </w:r>
    </w:p>
    <w:p w14:paraId="1EC86A2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电商平台及生态：跨境电商平台及头部生态链企业、物流仓储、关务代理、供应链管理、金融支付运营商、供应链金融、互联网增值服务、知识产权、商标注册、VAT税收、系统集成服务商等。</w:t>
      </w:r>
    </w:p>
    <w:p w14:paraId="4690A35C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2025印度尼西亚消费电子及电器展览会</w:t>
      </w:r>
    </w:p>
    <w:p w14:paraId="1A034AB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家用电器、车载电子产品、消费类电子产品、手机通讯及配件、智能家居及安防产品、LED及节能产品、电脑网络及配件、电子设备及零件等。</w:t>
      </w:r>
    </w:p>
    <w:p w14:paraId="47BF223F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2025印度尼西亚制冷及冷链供应链展览会</w:t>
      </w:r>
    </w:p>
    <w:p w14:paraId="5AC1831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冷藏/冻设备、冷藏/冻运输装备技术、保鲜/保温设备、冷链生鲜包装、冷库及配套设备技术、制冷材料、冷链物流配送、冷链温控信息技术、生鲜电商等。</w:t>
      </w:r>
    </w:p>
    <w:p w14:paraId="43B26365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2025印度尼西亚农机及农业技术展览会</w:t>
      </w:r>
    </w:p>
    <w:p w14:paraId="7F2679E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农业机械、畜牧机械、植保用品、农业设施、农作物运输设备、农副产品加工机械、农产品及农副产品、高端进出口食品、保健品、酒类。</w:t>
      </w:r>
    </w:p>
    <w:p w14:paraId="084D0001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Hans" w:bidi="ar-SA"/>
        </w:rPr>
        <w:t>2025中国机械电子（印尼）品牌展暨印尼国际电力新能源及造纸产业链展</w:t>
      </w:r>
    </w:p>
    <w:p w14:paraId="56A352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输配电、发电、新能源和可再生能源、水泵及水处理设备、造纸化学品、造纸机械、纸基材料、生物降解材料、绿色环保制品和设备等。</w:t>
      </w:r>
    </w:p>
    <w:p w14:paraId="5044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展会亮点</w:t>
      </w:r>
    </w:p>
    <w:p w14:paraId="39B65BA6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国际化展会，聚集海量专业采购商资源</w:t>
      </w:r>
    </w:p>
    <w:p w14:paraId="47394AC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集结境内外超500家跨境优质工厂、电商平台及服务商企业参展。通过2016-2024年展会数据分析，往届展会展商分别来自10余个国家，分别是中国、印尼、马来西亚、菲律宾、新加坡、越南、柬埔寨、缅甸、老挝、文莱等，预计本届展会将有更多国家参展商及观众到场。</w:t>
      </w:r>
    </w:p>
    <w:p w14:paraId="7DE7B34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拟邀Sinar Mas Group（金光集团）、Kawan Lama Group（长友集团）、Erajaya Group等印尼大型综合性集团到场。同时印尼工商会、印尼企业家协会、印尼青年企业家协会、印华百家姓协会、印尼零售商协会等商协会将组织当地企业、专业采购商、商超、零售商等以专业采购商团组身份到场进行选品采购。泰国中华总商会、泰国华人青年商会、泰中侨商联合会、越南电子商务协会、越南粤商会、菲律宾粤商会、菲律宾中国商会电商协会分会等作为支持单位，将从泰国、越南、菲律宾等国家组织专业采购团前来采购。</w:t>
      </w:r>
    </w:p>
    <w:p w14:paraId="53A5A62D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提供产业带+电商深度融合解决方案</w:t>
      </w:r>
    </w:p>
    <w:p w14:paraId="6C7BB1B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利用贸促系统资源优势，助力企业高效出海。拟邀全国范围内40余产业带企业,涵盖智能科技、精品生活、体育及户外用品、新能源、消费电子、农机及农业技术、食品及冷链供应链等东南亚热门产品。特邀Shopee、Lazada、Tokopedia、TikTok、BliBli.com等当地主流电商平台与优质产业带企业对接，打造跨境电商生态全链条一站式整体服务平台。</w:t>
      </w:r>
    </w:p>
    <w:p w14:paraId="00AB58D9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五展同开聚焦主题，叠加效应凸显</w:t>
      </w:r>
    </w:p>
    <w:p w14:paraId="727895A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选品展、消费电子及电器展、制冷及冷链供应链展、农机及农业技术展、中国机械电子（印尼）品牌展暨印尼国际电力新能源及造纸产业链展五展同开，选品展与专业展互补互利,吸引产业链相关企业共同参与,为供需双方搭建更高质量、更高效的沟通与合作平台，展览面积较上届翻了一倍。</w:t>
      </w:r>
    </w:p>
    <w:p w14:paraId="45D7E7D2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优质同期活动，实现资讯共享与精准对接</w:t>
      </w:r>
    </w:p>
    <w:p w14:paraId="3469DA0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同期将举办中国印尼电子商务高质量发展论坛、电商平台专场分享会、新品发布会、中印尼营商环境推介会、各行业经贸促进活动等活动，为展商及观众带来时下热点资讯，解读行业最前沿信息和政策，分享落地印尼实战经验，为企业出海带来更多优质服务。“贸促优配-供需对接会”系列活动将帮助更多的采购商与展商实现精准对接，提升采购效率。</w:t>
      </w:r>
    </w:p>
    <w:p w14:paraId="02D95530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设立“贸促精品”展示区，挖掘行业新需求</w:t>
      </w:r>
    </w:p>
    <w:p w14:paraId="4E9F229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为推动产业带集货出海，特设“贸促精品”展示区（包含精品展示及精品发布两大板块），为参展企业提供免费增值服务，打造社会关注度高的展示宣传平台，助推产品向高品质、多样化、品牌化升级。“贸促精品”展示区产品将于展后收入“贸促精品”海外展示厅持续展出，为更多专业观众及电商卖家提供新、奇、特的各类新品精品。</w:t>
      </w:r>
    </w:p>
    <w:p w14:paraId="5A5C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Hans" w:bidi="ar-SA"/>
        </w:rPr>
        <w:t>五、往届概况</w:t>
      </w:r>
    </w:p>
    <w:p w14:paraId="3A38ABD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  <w:bookmarkStart w:id="0" w:name="OLE_LINK1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2024印尼选品展面积约1万平方米，展期3天，300余家中外展商齐聚现场，共计到场观众超22000人次。展品涵盖智能科技、个护美妆、家居百货、宠物用品、母婴玩具、汽摩配、高端食品、新能源、户外用品等热门品类，国内展商来自广东、江苏、江西、陕西等全国近20个省市和地区，国际展商来自印度尼西亚、马来西亚、菲律宾等国家和地区。</w:t>
      </w:r>
    </w:p>
    <w:p w14:paraId="2AC965C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  <w:t>展会积极搭建平台促进中国政商界与印度尼西亚、菲律宾、马来西亚等东盟国家工商界深入合作，组织同期商务拜访30余场，同期促成各方签署MOU共10余次，贸促精品集货出海意向订单超过3亿元人民币，举办同期活动20余场。</w:t>
      </w:r>
      <w:bookmarkEnd w:id="0"/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595869"/>
    </w:sdtPr>
    <w:sdtEndPr>
      <w:rPr>
        <w:rFonts w:ascii="宋体" w:hAnsi="宋体"/>
        <w:sz w:val="28"/>
        <w:szCs w:val="28"/>
      </w:rPr>
    </w:sdtEndPr>
    <w:sdtContent>
      <w:p w14:paraId="0305213D">
        <w:pPr>
          <w:pStyle w:val="7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192748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1C8E3">
    <w:pPr>
      <w:pStyle w:val="4"/>
      <w:pBdr>
        <w:bottom w:val="none" w:color="auto" w:sz="0" w:space="0"/>
      </w:pBd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5DB0"/>
    <w:rsid w:val="00D447D8"/>
    <w:rsid w:val="02865556"/>
    <w:rsid w:val="0A052AEF"/>
    <w:rsid w:val="0C285B4C"/>
    <w:rsid w:val="0D376A17"/>
    <w:rsid w:val="0DD43BBA"/>
    <w:rsid w:val="0E276F9E"/>
    <w:rsid w:val="0ED1524A"/>
    <w:rsid w:val="102A5FAA"/>
    <w:rsid w:val="10DB67D0"/>
    <w:rsid w:val="10DC1D71"/>
    <w:rsid w:val="12916C5D"/>
    <w:rsid w:val="129C4FDC"/>
    <w:rsid w:val="164947C4"/>
    <w:rsid w:val="174412BB"/>
    <w:rsid w:val="1867424D"/>
    <w:rsid w:val="1BD17881"/>
    <w:rsid w:val="1D7C4F4D"/>
    <w:rsid w:val="1E180019"/>
    <w:rsid w:val="210E00D1"/>
    <w:rsid w:val="22F219C9"/>
    <w:rsid w:val="23C00A39"/>
    <w:rsid w:val="292E4DF2"/>
    <w:rsid w:val="30DA0436"/>
    <w:rsid w:val="31D8416B"/>
    <w:rsid w:val="32555623"/>
    <w:rsid w:val="32782735"/>
    <w:rsid w:val="32E75DB0"/>
    <w:rsid w:val="349A748D"/>
    <w:rsid w:val="35A26134"/>
    <w:rsid w:val="3B9A31B1"/>
    <w:rsid w:val="3F220A72"/>
    <w:rsid w:val="420005A7"/>
    <w:rsid w:val="42D16EBD"/>
    <w:rsid w:val="44C92D21"/>
    <w:rsid w:val="44CC4CB3"/>
    <w:rsid w:val="46F82976"/>
    <w:rsid w:val="481B7D45"/>
    <w:rsid w:val="48C73C0E"/>
    <w:rsid w:val="49C27A03"/>
    <w:rsid w:val="4A3F3FF1"/>
    <w:rsid w:val="4AD76C3E"/>
    <w:rsid w:val="4D0A7D04"/>
    <w:rsid w:val="4D841CBF"/>
    <w:rsid w:val="4D9144DF"/>
    <w:rsid w:val="52024E6C"/>
    <w:rsid w:val="5266562E"/>
    <w:rsid w:val="52AE3417"/>
    <w:rsid w:val="553A1A0F"/>
    <w:rsid w:val="5764426C"/>
    <w:rsid w:val="57C6279B"/>
    <w:rsid w:val="59E52E10"/>
    <w:rsid w:val="61CD757D"/>
    <w:rsid w:val="62116ECD"/>
    <w:rsid w:val="64640F53"/>
    <w:rsid w:val="66C23751"/>
    <w:rsid w:val="6824469A"/>
    <w:rsid w:val="696A53F0"/>
    <w:rsid w:val="6B4D2148"/>
    <w:rsid w:val="6D004922"/>
    <w:rsid w:val="6D9C5587"/>
    <w:rsid w:val="70475C95"/>
    <w:rsid w:val="70D22EB2"/>
    <w:rsid w:val="73727CA7"/>
    <w:rsid w:val="73CE1562"/>
    <w:rsid w:val="75EA4C2B"/>
    <w:rsid w:val="77247346"/>
    <w:rsid w:val="7A9351FC"/>
    <w:rsid w:val="7B920457"/>
    <w:rsid w:val="7CF03765"/>
    <w:rsid w:val="7D444141"/>
    <w:rsid w:val="7FE9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黑体"/>
    </w:rPr>
  </w:style>
  <w:style w:type="paragraph" w:styleId="4">
    <w:name w:val="Body Text"/>
    <w:basedOn w:val="1"/>
    <w:qFormat/>
    <w:uiPriority w:val="0"/>
    <w:rPr>
      <w:sz w:val="31"/>
      <w:szCs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</w:style>
  <w:style w:type="paragraph" w:customStyle="1" w:styleId="15">
    <w:name w:val="Table Paragraph"/>
    <w:basedOn w:val="1"/>
    <w:qFormat/>
    <w:uiPriority w:val="1"/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2585</Words>
  <Characters>2779</Characters>
  <Lines>0</Lines>
  <Paragraphs>0</Paragraphs>
  <TotalTime>131</TotalTime>
  <ScaleCrop>false</ScaleCrop>
  <LinksUpToDate>false</LinksUpToDate>
  <CharactersWithSpaces>2955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2024-03-28T08:13:00Z</dcterms:created>
  <dc:creator>孙融融</dc:creator>
  <cp:lastModifiedBy>小熊饼干</cp:lastModifiedBy>
  <cp:lastPrinted>2025-03-12T01:38:00Z</cp:lastPrinted>
  <dcterms:modified xsi:type="dcterms:W3CDTF">2025-03-12T02:51:42Z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E34A15D37AA24D189B09392E8B14F158_13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